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Права, обязанности и ответственность родителей</w:t>
      </w:r>
    </w:p>
    <w:p w:rsidR="0050604D" w:rsidRPr="0069762F" w:rsidRDefault="0050604D" w:rsidP="0069762F">
      <w:pPr>
        <w:shd w:val="clear" w:color="auto" w:fill="FBE4D5" w:themeFill="accent2" w:themeFillTint="33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Родители имеют право воспитывать ребенка, а также несут обязанности и ответственность за воспитание и развитие ребенка. Согласно Семейному Кодексу РФ, это называется родительскими правами.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Родители имеют право:</w:t>
      </w:r>
    </w:p>
    <w:p w:rsidR="0050604D" w:rsidRPr="0069762F" w:rsidRDefault="0050604D" w:rsidP="0069762F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50604D" w:rsidRPr="0069762F" w:rsidRDefault="0050604D" w:rsidP="0069762F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50604D" w:rsidRPr="0069762F" w:rsidRDefault="0050604D" w:rsidP="0069762F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50604D" w:rsidRPr="0069762F" w:rsidRDefault="0050604D" w:rsidP="0069762F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50604D" w:rsidRPr="0069762F" w:rsidRDefault="0050604D" w:rsidP="0069762F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50604D" w:rsidRPr="0069762F" w:rsidRDefault="0050604D" w:rsidP="0069762F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на участие в управлении образовательным учреждением, в котором обучаются их дети;</w:t>
      </w:r>
    </w:p>
    <w:p w:rsidR="0050604D" w:rsidRPr="0069762F" w:rsidRDefault="0050604D" w:rsidP="0069762F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на ознакомление с ходом и содержанием образовательного процесса, а также с оценками успеваемости своих детей;</w:t>
      </w:r>
    </w:p>
    <w:p w:rsidR="0050604D" w:rsidRPr="0069762F" w:rsidRDefault="0050604D" w:rsidP="0069762F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50604D" w:rsidRPr="0069762F" w:rsidRDefault="0050604D" w:rsidP="0069762F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обеспечивать религиозное и нравственное воспитание детей в соответствии со своими собственными убеждениями;</w:t>
      </w:r>
    </w:p>
    <w:p w:rsidR="0050604D" w:rsidRPr="0069762F" w:rsidRDefault="0050604D" w:rsidP="0069762F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50604D" w:rsidRPr="0069762F" w:rsidRDefault="0050604D" w:rsidP="0069762F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на заботу и содержание со стороны своих совершеннолетних детей, если родители не были лишены родительских прав;</w:t>
      </w:r>
    </w:p>
    <w:p w:rsidR="0050604D" w:rsidRPr="0069762F" w:rsidRDefault="0050604D" w:rsidP="0069762F">
      <w:pPr>
        <w:numPr>
          <w:ilvl w:val="0"/>
          <w:numId w:val="1"/>
        </w:numPr>
        <w:shd w:val="clear" w:color="auto" w:fill="FFF2CC" w:themeFill="accent4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 xml:space="preserve"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</w:t>
      </w:r>
      <w:r w:rsidRPr="0069762F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угрозы жизни или здоровью ребенка).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Родители обязаны:</w:t>
      </w:r>
    </w:p>
    <w:p w:rsidR="0050604D" w:rsidRPr="0069762F" w:rsidRDefault="0050604D" w:rsidP="0069762F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 xml:space="preserve">обеспечивать и защищать права интересы своих детей, не причинять вред физическому и психическому здоровью детей, их нравственному развитию; </w:t>
      </w: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lastRenderedPageBreak/>
        <w:t>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50604D" w:rsidRPr="0069762F" w:rsidRDefault="0050604D" w:rsidP="0069762F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 xml:space="preserve">обеспечить </w:t>
      </w:r>
      <w:proofErr w:type="gramStart"/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детям  получение</w:t>
      </w:r>
      <w:proofErr w:type="gramEnd"/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 xml:space="preserve"> основного общего образования в общеобразовательной школе или в другом приравненном к ней по статусу образовательном учреждении, создать условия для получения детьми общего среднего образования;</w:t>
      </w:r>
    </w:p>
    <w:p w:rsidR="0050604D" w:rsidRPr="0069762F" w:rsidRDefault="0050604D" w:rsidP="0069762F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выполнять Устав общеобразовательного учреждении;</w:t>
      </w:r>
    </w:p>
    <w:p w:rsidR="0050604D" w:rsidRPr="0069762F" w:rsidRDefault="0050604D" w:rsidP="0069762F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50604D" w:rsidRPr="0069762F" w:rsidRDefault="0050604D" w:rsidP="0069762F">
      <w:pPr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p w:rsidR="0050604D" w:rsidRPr="0069762F" w:rsidRDefault="0050604D" w:rsidP="0069762F">
      <w:pP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ответственность.</w:t>
      </w:r>
    </w:p>
    <w:p w:rsidR="0050604D" w:rsidRPr="0069762F" w:rsidRDefault="0050604D" w:rsidP="0069762F">
      <w:pPr>
        <w:shd w:val="clear" w:color="auto" w:fill="FFFFFF" w:themeFill="background1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Какие административные наказания могут применяться к родителям?</w:t>
      </w:r>
    </w:p>
    <w:p w:rsidR="0050604D" w:rsidRPr="0069762F" w:rsidRDefault="0050604D" w:rsidP="0069762F">
      <w:pPr>
        <w:shd w:val="clear" w:color="auto" w:fill="E2EFD9" w:themeFill="accent6" w:themeFillTint="33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Комиссии по делам несовершеннолетних могут применить к родителям административные меры (вынести предупреждение, возложить обязанность загладить причиненный вред или наложить денежный штраф):</w:t>
      </w:r>
    </w:p>
    <w:p w:rsidR="0050604D" w:rsidRPr="0069762F" w:rsidRDefault="0050604D" w:rsidP="0069762F">
      <w:pPr>
        <w:numPr>
          <w:ilvl w:val="0"/>
          <w:numId w:val="3"/>
        </w:numPr>
        <w:shd w:val="clear" w:color="auto" w:fill="E2EFD9" w:themeFill="accent6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в случае невыполнения родителями обязанностей по воспитанию и обучению детей;</w:t>
      </w:r>
    </w:p>
    <w:p w:rsidR="0050604D" w:rsidRPr="0069762F" w:rsidRDefault="0050604D" w:rsidP="0069762F">
      <w:pPr>
        <w:numPr>
          <w:ilvl w:val="0"/>
          <w:numId w:val="3"/>
        </w:numPr>
        <w:shd w:val="clear" w:color="auto" w:fill="E2EFD9" w:themeFill="accent6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за вовлечение их в употреблении спиртного или в употребление наркотических средств;</w:t>
      </w:r>
    </w:p>
    <w:p w:rsidR="0050604D" w:rsidRPr="0069762F" w:rsidRDefault="0050604D" w:rsidP="0069762F">
      <w:pPr>
        <w:numPr>
          <w:ilvl w:val="0"/>
          <w:numId w:val="3"/>
        </w:numPr>
        <w:shd w:val="clear" w:color="auto" w:fill="E2EFD9" w:themeFill="accent6" w:themeFillTint="33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за появление в общественных местах в состоянии опьянения или распитие в общественных местах пива, спиртного подростками в возрасте до 16 лет.</w:t>
      </w:r>
    </w:p>
    <w:p w:rsidR="0050604D" w:rsidRPr="0069762F" w:rsidRDefault="0050604D" w:rsidP="0069762F">
      <w:pPr>
        <w:shd w:val="clear" w:color="auto" w:fill="FFFFFF" w:themeFill="background1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 каких случаях родители несут уголовную ответственность?</w:t>
      </w:r>
    </w:p>
    <w:p w:rsidR="0050604D" w:rsidRPr="0069762F" w:rsidRDefault="0050604D" w:rsidP="0069762F">
      <w:pPr>
        <w:shd w:val="clear" w:color="auto" w:fill="DBDBDB" w:themeFill="accent3" w:themeFillTint="66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50604D" w:rsidRPr="0069762F" w:rsidRDefault="0050604D" w:rsidP="0069762F">
      <w:pPr>
        <w:numPr>
          <w:ilvl w:val="0"/>
          <w:numId w:val="4"/>
        </w:numPr>
        <w:shd w:val="clear" w:color="auto" w:fill="DBDBDB" w:themeFill="accent3" w:themeFillTint="66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:rsidR="0050604D" w:rsidRPr="0069762F" w:rsidRDefault="0050604D" w:rsidP="0069762F">
      <w:pPr>
        <w:numPr>
          <w:ilvl w:val="0"/>
          <w:numId w:val="4"/>
        </w:numPr>
        <w:shd w:val="clear" w:color="auto" w:fill="DBDBDB" w:themeFill="accent3" w:themeFillTint="66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за вовлечение несовершеннолетнего в систематическое употребление спиртных напитков и одурманивающих веществ;</w:t>
      </w:r>
    </w:p>
    <w:p w:rsidR="0050604D" w:rsidRPr="0069762F" w:rsidRDefault="0050604D" w:rsidP="0069762F">
      <w:pPr>
        <w:numPr>
          <w:ilvl w:val="0"/>
          <w:numId w:val="4"/>
        </w:numPr>
        <w:shd w:val="clear" w:color="auto" w:fill="DBDBDB" w:themeFill="accent3" w:themeFillTint="66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за вовлечение в занятие проституцией, бродяжничеством или попрошайничеством;</w:t>
      </w:r>
    </w:p>
    <w:p w:rsidR="0050604D" w:rsidRPr="0069762F" w:rsidRDefault="0050604D" w:rsidP="0069762F">
      <w:pPr>
        <w:numPr>
          <w:ilvl w:val="0"/>
          <w:numId w:val="4"/>
        </w:numPr>
        <w:shd w:val="clear" w:color="auto" w:fill="DBDBDB" w:themeFill="accent3" w:themeFillTint="66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50604D" w:rsidRPr="0069762F" w:rsidRDefault="0050604D" w:rsidP="0069762F">
      <w:pPr>
        <w:numPr>
          <w:ilvl w:val="0"/>
          <w:numId w:val="4"/>
        </w:numPr>
        <w:shd w:val="clear" w:color="auto" w:fill="DBDBDB" w:themeFill="accent3" w:themeFillTint="66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за злостное уклонение от уплаты средств на содержание детей.</w:t>
      </w:r>
    </w:p>
    <w:p w:rsidR="0050604D" w:rsidRPr="0069762F" w:rsidRDefault="0050604D" w:rsidP="0069762F">
      <w:pPr>
        <w:shd w:val="clear" w:color="auto" w:fill="FFFFFF" w:themeFill="background1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Кто несет ответственность за вред, причиненный ребенком в возрасте до 14 лет?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 xml:space="preserve">Родители, если они не докажут, что вред возник не по их вине. Если в момент причинения вреда малолетний находился под надзором школы, больницы, оздоровительного лагеря и т. д., за вред будет отвечать учреждение, если оно не докажет, что вред возник не по его вине. Но если родители не имеют достаточных средств для возмещения вреда, а сам </w:t>
      </w:r>
      <w:proofErr w:type="spellStart"/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причинитель</w:t>
      </w:r>
      <w:proofErr w:type="spellEnd"/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, став дееспособным, располагает такими средствами, суд имеет право потребовать возмещения вреда с того, кто его причинил.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50604D" w:rsidRPr="0069762F" w:rsidRDefault="0050604D" w:rsidP="0069762F">
      <w:pPr>
        <w:shd w:val="clear" w:color="auto" w:fill="FFFFFF" w:themeFill="background1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Кто несет ответственность за вред, причиненный подростком в возрасте от 14 до 18 лет?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</w:t>
      </w:r>
      <w:proofErr w:type="spellStart"/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причинителя</w:t>
      </w:r>
      <w:proofErr w:type="spellEnd"/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 xml:space="preserve"> вреда появилось достаточное имущество, вред будет возмещен из этого имущества.</w:t>
      </w:r>
    </w:p>
    <w:p w:rsidR="0050604D" w:rsidRPr="0069762F" w:rsidRDefault="0050604D" w:rsidP="0069762F">
      <w:pPr>
        <w:shd w:val="clear" w:color="auto" w:fill="FFFFFF" w:themeFill="background1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Родители могут быть по суду лишены родительских прав, если они:</w:t>
      </w:r>
    </w:p>
    <w:p w:rsidR="0050604D" w:rsidRPr="0069762F" w:rsidRDefault="0050604D" w:rsidP="0069762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50604D" w:rsidRPr="0069762F" w:rsidRDefault="0050604D" w:rsidP="0069762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злоупотребляют родительскими правами;</w:t>
      </w:r>
    </w:p>
    <w:p w:rsidR="0050604D" w:rsidRPr="0069762F" w:rsidRDefault="0050604D" w:rsidP="0069762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:rsidR="0050604D" w:rsidRPr="0069762F" w:rsidRDefault="0050604D" w:rsidP="0069762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совершили преступление против жизни или здоровья супруга.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местного самоуправления.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50604D" w:rsidRPr="0069762F" w:rsidRDefault="0050604D" w:rsidP="0069762F">
      <w:pPr>
        <w:shd w:val="clear" w:color="auto" w:fill="FFFFFF" w:themeFill="background1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Что влечет за собой лишение родительских прав?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lastRenderedPageBreak/>
        <w:t>Лишение родительских прав не освобождает родителей от обязанностей по содержанию ребенка.</w:t>
      </w:r>
    </w:p>
    <w:p w:rsidR="0050604D" w:rsidRPr="0069762F" w:rsidRDefault="0050604D" w:rsidP="0069762F">
      <w:pPr>
        <w:shd w:val="clear" w:color="auto" w:fill="FFFFFF" w:themeFill="background1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bookmarkStart w:id="0" w:name="_GoBack"/>
      <w:r w:rsidRPr="006976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Что такое алименты, и в каком размере они взыскиваются?</w:t>
      </w:r>
    </w:p>
    <w:bookmarkEnd w:id="0"/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Алименты — это средства на содержание несовершеннолетних или нетрудоспособных детей, взыскиваемые с родителей или одного из них в судебном порядке или по согласию родителей.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Размер алиментов таков:</w:t>
      </w:r>
    </w:p>
    <w:p w:rsidR="0050604D" w:rsidRPr="0069762F" w:rsidRDefault="0050604D" w:rsidP="0069762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на одного ребенка — одна четвертая часть заработка;</w:t>
      </w:r>
    </w:p>
    <w:p w:rsidR="0050604D" w:rsidRPr="0069762F" w:rsidRDefault="0050604D" w:rsidP="0069762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на двух детей — одна треть заработка;</w:t>
      </w:r>
    </w:p>
    <w:p w:rsidR="0050604D" w:rsidRPr="0069762F" w:rsidRDefault="0050604D" w:rsidP="0069762F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на трех и более детей — половина заработка.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Алименты могут взыскиваться и с совершеннолетних детей в пользу нетрудоспособных и нуждающихся в помощи родителей.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Право на получение алиментов также имеют:</w:t>
      </w:r>
    </w:p>
    <w:p w:rsidR="0050604D" w:rsidRPr="0069762F" w:rsidRDefault="0050604D" w:rsidP="0069762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нетрудоспособные несовершеннолетние братья и сестры, которые не могут получать алиментов от родителей, от совершеннолетних и трудоспособных братьев и сестер, которые обладают необходимыми средствами;</w:t>
      </w:r>
    </w:p>
    <w:p w:rsidR="0050604D" w:rsidRPr="0069762F" w:rsidRDefault="0050604D" w:rsidP="0069762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нетрудоспособные несовершеннолетние внуки от бабушек и дедушек, обладающих необходимыми средствами;</w:t>
      </w:r>
    </w:p>
    <w:p w:rsidR="0050604D" w:rsidRPr="0069762F" w:rsidRDefault="0050604D" w:rsidP="0069762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нетрудоспособные бабушки и дедушки от трудоспособных совершеннолетних внуков, обладающих необходимыми для этого средствами;</w:t>
      </w:r>
    </w:p>
    <w:p w:rsidR="0050604D" w:rsidRPr="0069762F" w:rsidRDefault="0050604D" w:rsidP="0069762F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нетрудоспособные отчим и мачеха от трудоспособных совершеннолетних пасынка и падчерицы, обладающих необходимыми для этого средствам.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 </w:t>
      </w:r>
    </w:p>
    <w:p w:rsidR="0050604D" w:rsidRPr="0069762F" w:rsidRDefault="0050604D" w:rsidP="006976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</w:pP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Хороший родителей всегд</w:t>
      </w:r>
      <w:r w:rsid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>а</w:t>
      </w:r>
      <w:r w:rsidRPr="0069762F">
        <w:rPr>
          <w:rFonts w:ascii="Times New Roman" w:eastAsia="Times New Roman" w:hAnsi="Times New Roman" w:cs="Times New Roman"/>
          <w:color w:val="6A5F4A"/>
          <w:sz w:val="32"/>
          <w:szCs w:val="32"/>
          <w:lang w:eastAsia="ru-RU"/>
        </w:rPr>
        <w:t xml:space="preserve"> стремится дать своему ребёнку только лучшее. </w:t>
      </w:r>
    </w:p>
    <w:p w:rsidR="00021655" w:rsidRPr="0069762F" w:rsidRDefault="00021655" w:rsidP="0069762F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021655" w:rsidRPr="0069762F" w:rsidSect="006976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4D2"/>
    <w:multiLevelType w:val="multilevel"/>
    <w:tmpl w:val="3CB0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47D84"/>
    <w:multiLevelType w:val="multilevel"/>
    <w:tmpl w:val="20F0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5014D"/>
    <w:multiLevelType w:val="multilevel"/>
    <w:tmpl w:val="2DE6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80590"/>
    <w:multiLevelType w:val="multilevel"/>
    <w:tmpl w:val="4C1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EC68EC"/>
    <w:multiLevelType w:val="multilevel"/>
    <w:tmpl w:val="F47E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B4F1F"/>
    <w:multiLevelType w:val="multilevel"/>
    <w:tmpl w:val="2BEA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F7070"/>
    <w:multiLevelType w:val="multilevel"/>
    <w:tmpl w:val="A27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92"/>
    <w:rsid w:val="00021655"/>
    <w:rsid w:val="003D4D92"/>
    <w:rsid w:val="0050604D"/>
    <w:rsid w:val="006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77A2"/>
  <w15:chartTrackingRefBased/>
  <w15:docId w15:val="{C6661D56-0BC2-4A6B-8CB3-100B2A1A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1249</Words>
  <Characters>7124</Characters>
  <Application>Microsoft Office Word</Application>
  <DocSecurity>0</DocSecurity>
  <Lines>59</Lines>
  <Paragraphs>16</Paragraphs>
  <ScaleCrop>false</ScaleCrop>
  <Company>HP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2020-12-02T13:23:00Z</dcterms:created>
  <dcterms:modified xsi:type="dcterms:W3CDTF">2020-12-06T18:07:00Z</dcterms:modified>
</cp:coreProperties>
</file>